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Bilancio e programmazione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Programmazione e pianificazione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esecutivo di gestione - PEG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nell'approvazione piano esecutivo di gestione - PEG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77/1995 - D.Lgs. 267/2000 T.U.E.L. - D.Lgs. 118/2011 - Disposizioni in materia di armonizzazione dei sistemi contabili e degli schemi di bilancio delle Regioni, degli enti locali e loro organismi - D.L. 102/2013 - D.Lgs. 126/2014 - Disposizioni integrative e correttive del D.Lgs. 118/2011 - Leggi finanziarie annuali - Regolamento sul funzionamento del Consiglio - Regolamento di contabilita' - Regolamento sui controlli interni - Nuovi principi contabili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Bilancio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 IndirizzoPiazza Signorelli n.1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>EMailragioneria@comune.parona.pv.it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>PECparona.comune.pv@pec.it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>GiornoOrario</w:t>
            </w:r>
          </w:p>
          <w:p w:rsidR="00287B00" w:rsidRDefault="00287B00" w:rsidP="00287B00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F96ACC" w:rsidRDefault="00287B00" w:rsidP="00287B00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96ACC" w:rsidRDefault="00287B0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Entro 20 giorni dall'approvazione del bilancio di previsione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87B0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87B00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96ACC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2B173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23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2026-06-12T19:44:00Z</dcterms:modified>
</cp:coreProperties>
</file>